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divId w:val="1416702278"/>
              <w:rPr>
                <w:rFonts w:eastAsia="Times New Roman" w:cs="Times New Roman"/>
                <w:sz w:val="18"/>
                <w:szCs w:val="18"/>
              </w:rPr>
            </w:pPr>
            <w:r w:rsidRPr="00B1156E">
              <w:rPr>
                <w:rFonts w:eastAsia="Times New Roman" w:cs="Times New Roman"/>
                <w:b/>
                <w:bCs/>
                <w:sz w:val="18"/>
                <w:szCs w:val="18"/>
              </w:rPr>
              <w:t>1. </w:t>
            </w:r>
            <w:r w:rsidRPr="00B1156E">
              <w:rPr>
                <w:rFonts w:eastAsia="Times New Roman" w:cs="Times New Roman"/>
                <w:sz w:val="18"/>
                <w:szCs w:val="18"/>
              </w:rPr>
              <w:t xml:space="preserve"> For what reason would retailers like The Gap select an accounting period that ends on or near the end of January?</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52207643"/>
              <w:rPr>
                <w:rFonts w:eastAsia="Times New Roman" w:cs="Times New Roman"/>
                <w:sz w:val="18"/>
                <w:szCs w:val="18"/>
              </w:rPr>
            </w:pPr>
            <w:r w:rsidRPr="00B1156E">
              <w:rPr>
                <w:rFonts w:eastAsia="Times New Roman" w:cs="Times New Roman"/>
                <w:b/>
                <w:bCs/>
                <w:sz w:val="18"/>
                <w:szCs w:val="18"/>
              </w:rPr>
              <w:t>2. </w:t>
            </w:r>
            <w:r w:rsidRPr="00B1156E">
              <w:rPr>
                <w:rFonts w:eastAsia="Times New Roman" w:cs="Times New Roman"/>
                <w:sz w:val="18"/>
                <w:szCs w:val="18"/>
              </w:rPr>
              <w:t xml:space="preserve"> Which one of the following accounts most likely would appear on the income statement of a merchandise company, but not on the income statement of a service company?</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148017628"/>
              <w:rPr>
                <w:rFonts w:eastAsia="Times New Roman" w:cs="Times New Roman"/>
                <w:sz w:val="18"/>
                <w:szCs w:val="18"/>
              </w:rPr>
            </w:pPr>
            <w:r w:rsidRPr="00B1156E">
              <w:rPr>
                <w:rFonts w:eastAsia="Times New Roman" w:cs="Times New Roman"/>
                <w:b/>
                <w:bCs/>
                <w:sz w:val="18"/>
                <w:szCs w:val="18"/>
              </w:rPr>
              <w:t>3. </w:t>
            </w:r>
            <w:r w:rsidRPr="00B1156E">
              <w:rPr>
                <w:rFonts w:eastAsia="Times New Roman" w:cs="Times New Roman"/>
                <w:sz w:val="18"/>
                <w:szCs w:val="18"/>
              </w:rPr>
              <w:t xml:space="preserve"> A customer returned damaged goods for credit. Which of the seller's accounts decreases?</w:t>
            </w:r>
          </w:p>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4. 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before="100" w:beforeAutospacing="1" w:after="100" w:afterAutospacing="1"/>
              <w:rPr>
                <w:rFonts w:eastAsia="Times New Roman" w:cs="Times New Roman"/>
                <w:sz w:val="18"/>
                <w:szCs w:val="18"/>
              </w:rPr>
            </w:pPr>
            <w:r>
              <w:rPr>
                <w:rFonts w:eastAsia="Times New Roman" w:cs="Times New Roman"/>
                <w:noProof/>
                <w:sz w:val="18"/>
                <w:szCs w:val="18"/>
              </w:rPr>
              <w:drawing>
                <wp:inline distT="0" distB="0" distL="0" distR="0">
                  <wp:extent cx="5866130" cy="1880870"/>
                  <wp:effectExtent l="19050" t="0" r="1270" b="0"/>
                  <wp:docPr id="19" name="Picture 19" descr="http://east.instructor.cengagenow.com/ilrn/books/pnfa06t/images/ch05/pnfa06t_ch05_mi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ast.instructor.cengagenow.com/ilrn/books/pnfa06t/images/ch05/pnfa06t_ch05_mills.gif"/>
                          <pic:cNvPicPr>
                            <a:picLocks noChangeAspect="1" noChangeArrowheads="1"/>
                          </pic:cNvPicPr>
                        </pic:nvPicPr>
                        <pic:blipFill>
                          <a:blip r:embed="rId6" cstate="print"/>
                          <a:srcRect/>
                          <a:stretch>
                            <a:fillRect/>
                          </a:stretch>
                        </pic:blipFill>
                        <pic:spPr bwMode="auto">
                          <a:xfrm>
                            <a:off x="0" y="0"/>
                            <a:ext cx="5866130" cy="1880870"/>
                          </a:xfrm>
                          <a:prstGeom prst="rect">
                            <a:avLst/>
                          </a:prstGeom>
                          <a:noFill/>
                          <a:ln w="9525">
                            <a:noFill/>
                            <a:miter lim="800000"/>
                            <a:headEnd/>
                            <a:tailEnd/>
                          </a:ln>
                        </pic:spPr>
                      </pic:pic>
                    </a:graphicData>
                  </a:graphic>
                </wp:inline>
              </w:drawing>
            </w:r>
          </w:p>
          <w:p w:rsidR="00B1156E" w:rsidRPr="00B1156E" w:rsidRDefault="00B1156E" w:rsidP="00B1156E">
            <w:pPr>
              <w:rPr>
                <w:rFonts w:eastAsia="Times New Roman" w:cs="Times New Roman"/>
                <w:sz w:val="18"/>
                <w:szCs w:val="18"/>
              </w:rPr>
            </w:pPr>
            <w:r w:rsidRPr="00B1156E">
              <w:rPr>
                <w:rFonts w:eastAsia="Times New Roman" w:cs="Times New Roman"/>
                <w:sz w:val="18"/>
                <w:szCs w:val="18"/>
              </w:rPr>
              <w:br/>
              <w:t>Refer to Mills Corp. Calculate the cost of goods sold for Mills Corp.</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5. </w:t>
            </w:r>
            <w:r w:rsidRPr="00B1156E">
              <w:rPr>
                <w:rFonts w:eastAsia="Times New Roman" w:cs="Times New Roman"/>
                <w:sz w:val="18"/>
                <w:szCs w:val="18"/>
              </w:rPr>
              <w:t xml:space="preserve"> Refer to Mills Corp. Calculate the gross profit.</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6. </w:t>
            </w:r>
            <w:r w:rsidRPr="00B1156E">
              <w:rPr>
                <w:rFonts w:eastAsia="Times New Roman" w:cs="Times New Roman"/>
                <w:sz w:val="18"/>
                <w:szCs w:val="18"/>
              </w:rPr>
              <w:t xml:space="preserve"> Refer to Mills Corp. Calculate net income.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855224540"/>
              <w:rPr>
                <w:rFonts w:eastAsia="Times New Roman" w:cs="Times New Roman"/>
                <w:sz w:val="18"/>
                <w:szCs w:val="18"/>
              </w:rPr>
            </w:pPr>
            <w:r w:rsidRPr="00B1156E">
              <w:rPr>
                <w:rFonts w:eastAsia="Times New Roman" w:cs="Times New Roman"/>
                <w:b/>
                <w:bCs/>
                <w:sz w:val="18"/>
                <w:szCs w:val="18"/>
              </w:rPr>
              <w:t>7. </w:t>
            </w:r>
            <w:r w:rsidRPr="00B1156E">
              <w:rPr>
                <w:rFonts w:eastAsia="Times New Roman" w:cs="Times New Roman"/>
                <w:sz w:val="18"/>
                <w:szCs w:val="18"/>
              </w:rPr>
              <w:t xml:space="preserve"> What effects on a retail store's accounting equation occur when merchandise returned by customers is recorded?</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484512170"/>
              <w:rPr>
                <w:rFonts w:eastAsia="Times New Roman" w:cs="Times New Roman"/>
                <w:sz w:val="18"/>
                <w:szCs w:val="18"/>
              </w:rPr>
            </w:pPr>
            <w:r w:rsidRPr="00B1156E">
              <w:rPr>
                <w:rFonts w:eastAsia="Times New Roman" w:cs="Times New Roman"/>
                <w:b/>
                <w:bCs/>
                <w:sz w:val="18"/>
                <w:szCs w:val="18"/>
              </w:rPr>
              <w:t>8. </w:t>
            </w:r>
            <w:r w:rsidRPr="00B1156E">
              <w:rPr>
                <w:rFonts w:eastAsia="Times New Roman" w:cs="Times New Roman"/>
                <w:sz w:val="18"/>
                <w:szCs w:val="18"/>
              </w:rPr>
              <w:t xml:space="preserve"> Silvertone Corp. sold merchandise to a customer on credit. The invoice amount was $1,000; the invoice date was June 10; credit terms were 1/10, n/30. Which one of the following statements is true?</w:t>
            </w:r>
          </w:p>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9. 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before="100" w:beforeAutospacing="1" w:after="100" w:afterAutospacing="1"/>
              <w:rPr>
                <w:rFonts w:eastAsia="Times New Roman" w:cs="Times New Roman"/>
                <w:sz w:val="18"/>
                <w:szCs w:val="18"/>
              </w:rPr>
            </w:pPr>
            <w:r>
              <w:rPr>
                <w:rFonts w:eastAsia="Times New Roman" w:cs="Times New Roman"/>
                <w:noProof/>
                <w:sz w:val="18"/>
                <w:szCs w:val="18"/>
              </w:rPr>
              <w:drawing>
                <wp:inline distT="0" distB="0" distL="0" distR="0">
                  <wp:extent cx="5805805" cy="655320"/>
                  <wp:effectExtent l="19050" t="0" r="4445" b="0"/>
                  <wp:docPr id="52" name="Picture 52" descr="http://east.instructor.cengagenow.com/ilrn/books/pnfa06t/images/ch05/pnfa06t_ch05_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ast.instructor.cengagenow.com/ilrn/books/pnfa06t/images/ch05/pnfa06t_ch05_light.gif"/>
                          <pic:cNvPicPr>
                            <a:picLocks noChangeAspect="1" noChangeArrowheads="1"/>
                          </pic:cNvPicPr>
                        </pic:nvPicPr>
                        <pic:blipFill>
                          <a:blip r:embed="rId7" cstate="print"/>
                          <a:srcRect/>
                          <a:stretch>
                            <a:fillRect/>
                          </a:stretch>
                        </pic:blipFill>
                        <pic:spPr bwMode="auto">
                          <a:xfrm>
                            <a:off x="0" y="0"/>
                            <a:ext cx="5805805" cy="655320"/>
                          </a:xfrm>
                          <a:prstGeom prst="rect">
                            <a:avLst/>
                          </a:prstGeom>
                          <a:noFill/>
                          <a:ln w="9525">
                            <a:noFill/>
                            <a:miter lim="800000"/>
                            <a:headEnd/>
                            <a:tailEnd/>
                          </a:ln>
                        </pic:spPr>
                      </pic:pic>
                    </a:graphicData>
                  </a:graphic>
                </wp:inline>
              </w:drawing>
            </w:r>
          </w:p>
          <w:p w:rsidR="00B1156E" w:rsidRPr="00B1156E" w:rsidRDefault="00B1156E" w:rsidP="00B1156E">
            <w:pPr>
              <w:rPr>
                <w:rFonts w:eastAsia="Times New Roman" w:cs="Times New Roman"/>
                <w:sz w:val="18"/>
                <w:szCs w:val="18"/>
              </w:rPr>
            </w:pPr>
            <w:r w:rsidRPr="00B1156E">
              <w:rPr>
                <w:rFonts w:eastAsia="Times New Roman" w:cs="Times New Roman"/>
                <w:sz w:val="18"/>
                <w:szCs w:val="18"/>
              </w:rPr>
              <w:br/>
              <w:t>Refer to Lighting, Inc. If Sporting Corp. pays the amount of the invoice for its purchase on March 14, 2010, how much cash will Lighting receive from Sporting Corp.?</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10. </w:t>
            </w:r>
            <w:r w:rsidRPr="00B1156E">
              <w:rPr>
                <w:rFonts w:eastAsia="Times New Roman" w:cs="Times New Roman"/>
                <w:sz w:val="18"/>
                <w:szCs w:val="18"/>
              </w:rPr>
              <w:t xml:space="preserve"> Refer to Lighting, Inc. Sporting Corp. paid the invoice on July 31, 2010. How much sales discount will Lighting recognize?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62933218"/>
              <w:rPr>
                <w:rFonts w:eastAsia="Times New Roman" w:cs="Times New Roman"/>
                <w:sz w:val="18"/>
                <w:szCs w:val="18"/>
              </w:rPr>
            </w:pPr>
            <w:r w:rsidRPr="00B1156E">
              <w:rPr>
                <w:rFonts w:eastAsia="Times New Roman" w:cs="Times New Roman"/>
                <w:b/>
                <w:bCs/>
                <w:sz w:val="18"/>
                <w:szCs w:val="18"/>
              </w:rPr>
              <w:t>11. </w:t>
            </w:r>
            <w:r w:rsidRPr="00B1156E">
              <w:rPr>
                <w:rFonts w:eastAsia="Times New Roman" w:cs="Times New Roman"/>
                <w:sz w:val="18"/>
                <w:szCs w:val="18"/>
              </w:rPr>
              <w:t xml:space="preserve"> Seller, Inc. sells merchandise on credit. If a customer pays its balance due within the discount period, what is the effect of the payment on Seller's accounting equation?</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20748745"/>
              <w:rPr>
                <w:rFonts w:eastAsia="Times New Roman" w:cs="Times New Roman"/>
                <w:sz w:val="18"/>
                <w:szCs w:val="18"/>
              </w:rPr>
            </w:pPr>
            <w:r w:rsidRPr="00B1156E">
              <w:rPr>
                <w:rFonts w:eastAsia="Times New Roman" w:cs="Times New Roman"/>
                <w:b/>
                <w:bCs/>
                <w:sz w:val="18"/>
                <w:szCs w:val="18"/>
              </w:rPr>
              <w:t>12. </w:t>
            </w:r>
            <w:r w:rsidRPr="00B1156E">
              <w:rPr>
                <w:rFonts w:eastAsia="Times New Roman" w:cs="Times New Roman"/>
                <w:sz w:val="18"/>
                <w:szCs w:val="18"/>
              </w:rPr>
              <w:t xml:space="preserve"> Seller, Inc. sells merchandise on credit. If a customer pays its balance due after the discount period has passed, what is the effect of the payment on Seller's accounting equation?</w:t>
            </w:r>
          </w:p>
          <w:p w:rsidR="00B1156E" w:rsidRPr="00B1156E" w:rsidRDefault="00B1156E" w:rsidP="00B1156E">
            <w:pPr>
              <w:rPr>
                <w:rFonts w:eastAsia="Times New Roman" w:cs="Times New Roman"/>
                <w:vanish/>
                <w:sz w:val="18"/>
              </w:rPr>
            </w:pP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103380475"/>
              <w:rPr>
                <w:rFonts w:eastAsia="Times New Roman" w:cs="Times New Roman"/>
                <w:sz w:val="18"/>
                <w:szCs w:val="18"/>
              </w:rPr>
            </w:pPr>
            <w:r w:rsidRPr="00B1156E">
              <w:rPr>
                <w:rFonts w:eastAsia="Times New Roman" w:cs="Times New Roman"/>
                <w:b/>
                <w:bCs/>
                <w:sz w:val="18"/>
                <w:szCs w:val="18"/>
              </w:rPr>
              <w:t>13. </w:t>
            </w:r>
            <w:r w:rsidRPr="00B1156E">
              <w:rPr>
                <w:rFonts w:eastAsia="Times New Roman" w:cs="Times New Roman"/>
                <w:sz w:val="18"/>
                <w:szCs w:val="18"/>
              </w:rPr>
              <w:t xml:space="preserve"> In order to determine inventory for its balance sheet, a company must count the inventory at the end of its accounting period for</w:t>
            </w:r>
          </w:p>
          <w:p w:rsidR="00B1156E" w:rsidRPr="00B1156E" w:rsidRDefault="00B1156E" w:rsidP="00B1156E">
            <w:pPr>
              <w:rPr>
                <w:rFonts w:eastAsia="Times New Roman" w:cs="Times New Roman"/>
                <w:vanish/>
                <w:sz w:val="18"/>
              </w:rPr>
            </w:pP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32398405"/>
              <w:rPr>
                <w:rFonts w:eastAsia="Times New Roman" w:cs="Times New Roman"/>
                <w:sz w:val="18"/>
                <w:szCs w:val="18"/>
              </w:rPr>
            </w:pPr>
            <w:r w:rsidRPr="00B1156E">
              <w:rPr>
                <w:rFonts w:eastAsia="Times New Roman" w:cs="Times New Roman"/>
                <w:b/>
                <w:bCs/>
                <w:sz w:val="18"/>
                <w:szCs w:val="18"/>
              </w:rPr>
              <w:t>14. </w:t>
            </w:r>
            <w:r w:rsidRPr="00B1156E">
              <w:rPr>
                <w:rFonts w:eastAsia="Times New Roman" w:cs="Times New Roman"/>
                <w:sz w:val="18"/>
                <w:szCs w:val="18"/>
              </w:rPr>
              <w:t xml:space="preserve"> How are purchase discounts and purchase returns recorded by a company using the periodic inventory system?</w:t>
            </w:r>
          </w:p>
          <w:p w:rsidR="00B1156E" w:rsidRPr="00B1156E" w:rsidRDefault="00B1156E" w:rsidP="00B1156E">
            <w:pPr>
              <w:rPr>
                <w:rFonts w:eastAsia="Times New Roman" w:cs="Times New Roman"/>
                <w:vanish/>
                <w:sz w:val="18"/>
              </w:rPr>
            </w:pPr>
          </w:p>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15. 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before="100" w:beforeAutospacing="1" w:after="100" w:afterAutospacing="1"/>
              <w:rPr>
                <w:rFonts w:eastAsia="Times New Roman" w:cs="Times New Roman"/>
                <w:sz w:val="18"/>
                <w:szCs w:val="18"/>
              </w:rPr>
            </w:pPr>
            <w:r>
              <w:rPr>
                <w:rFonts w:eastAsia="Times New Roman" w:cs="Times New Roman"/>
                <w:noProof/>
                <w:sz w:val="18"/>
                <w:szCs w:val="18"/>
              </w:rPr>
              <w:lastRenderedPageBreak/>
              <w:drawing>
                <wp:inline distT="0" distB="0" distL="0" distR="0">
                  <wp:extent cx="5857240" cy="1112520"/>
                  <wp:effectExtent l="19050" t="0" r="0" b="0"/>
                  <wp:docPr id="90" name="Picture 90" descr="http://east.instructor.cengagenow.com/ilrn/books/pnfa06t/images/ch05/pnfa06t_ch05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ast.instructor.cengagenow.com/ilrn/books/pnfa06t/images/ch05/pnfa06t_ch05_blue.gif"/>
                          <pic:cNvPicPr>
                            <a:picLocks noChangeAspect="1" noChangeArrowheads="1"/>
                          </pic:cNvPicPr>
                        </pic:nvPicPr>
                        <pic:blipFill>
                          <a:blip r:embed="rId8" cstate="print"/>
                          <a:srcRect/>
                          <a:stretch>
                            <a:fillRect/>
                          </a:stretch>
                        </pic:blipFill>
                        <pic:spPr bwMode="auto">
                          <a:xfrm>
                            <a:off x="0" y="0"/>
                            <a:ext cx="5857240" cy="1112520"/>
                          </a:xfrm>
                          <a:prstGeom prst="rect">
                            <a:avLst/>
                          </a:prstGeom>
                          <a:noFill/>
                          <a:ln w="9525">
                            <a:noFill/>
                            <a:miter lim="800000"/>
                            <a:headEnd/>
                            <a:tailEnd/>
                          </a:ln>
                        </pic:spPr>
                      </pic:pic>
                    </a:graphicData>
                  </a:graphic>
                </wp:inline>
              </w:drawing>
            </w:r>
          </w:p>
          <w:p w:rsidR="00B1156E" w:rsidRPr="00B1156E" w:rsidRDefault="00B1156E" w:rsidP="00B1156E">
            <w:pPr>
              <w:rPr>
                <w:rFonts w:eastAsia="Times New Roman" w:cs="Times New Roman"/>
                <w:sz w:val="18"/>
                <w:szCs w:val="18"/>
              </w:rPr>
            </w:pPr>
            <w:r w:rsidRPr="00B1156E">
              <w:rPr>
                <w:rFonts w:eastAsia="Times New Roman" w:cs="Times New Roman"/>
                <w:sz w:val="18"/>
                <w:szCs w:val="18"/>
              </w:rPr>
              <w:br/>
              <w:t>Refer to Bluenote Band, Inc. If Bluenote uses the periodic inventory system, the effect of recording the payment on June 13, 2010, will include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070565437"/>
              <w:rPr>
                <w:rFonts w:eastAsia="Times New Roman" w:cs="Times New Roman"/>
                <w:sz w:val="18"/>
                <w:szCs w:val="18"/>
              </w:rPr>
            </w:pPr>
            <w:r w:rsidRPr="00B1156E">
              <w:rPr>
                <w:rFonts w:eastAsia="Times New Roman" w:cs="Times New Roman"/>
                <w:b/>
                <w:bCs/>
                <w:sz w:val="18"/>
                <w:szCs w:val="18"/>
              </w:rPr>
              <w:t>16. </w:t>
            </w:r>
            <w:r w:rsidRPr="00B1156E">
              <w:rPr>
                <w:rFonts w:eastAsia="Times New Roman" w:cs="Times New Roman"/>
                <w:sz w:val="18"/>
                <w:szCs w:val="18"/>
              </w:rPr>
              <w:t xml:space="preserve"> Which one of the following is </w:t>
            </w:r>
            <w:r w:rsidRPr="00B1156E">
              <w:rPr>
                <w:rFonts w:eastAsia="Times New Roman" w:cs="Times New Roman"/>
                <w:b/>
                <w:bCs/>
                <w:sz w:val="18"/>
                <w:szCs w:val="18"/>
              </w:rPr>
              <w:t>not</w:t>
            </w:r>
            <w:r w:rsidRPr="00B1156E">
              <w:rPr>
                <w:rFonts w:eastAsia="Times New Roman" w:cs="Times New Roman"/>
                <w:sz w:val="18"/>
                <w:szCs w:val="18"/>
              </w:rPr>
              <w:t xml:space="preserve"> a contra account?</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748962063"/>
              <w:rPr>
                <w:rFonts w:eastAsia="Times New Roman" w:cs="Times New Roman"/>
                <w:sz w:val="18"/>
                <w:szCs w:val="18"/>
              </w:rPr>
            </w:pPr>
            <w:r w:rsidRPr="00B1156E">
              <w:rPr>
                <w:rFonts w:eastAsia="Times New Roman" w:cs="Times New Roman"/>
                <w:b/>
                <w:bCs/>
                <w:sz w:val="18"/>
                <w:szCs w:val="18"/>
              </w:rPr>
              <w:t>17. </w:t>
            </w:r>
            <w:r w:rsidRPr="00B1156E">
              <w:rPr>
                <w:rFonts w:eastAsia="Times New Roman" w:cs="Times New Roman"/>
                <w:sz w:val="18"/>
                <w:szCs w:val="18"/>
              </w:rPr>
              <w:t xml:space="preserve"> The ending inventory balance represents</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244800580"/>
              <w:rPr>
                <w:rFonts w:eastAsia="Times New Roman" w:cs="Times New Roman"/>
                <w:sz w:val="18"/>
                <w:szCs w:val="18"/>
              </w:rPr>
            </w:pPr>
            <w:r w:rsidRPr="00B1156E">
              <w:rPr>
                <w:rFonts w:eastAsia="Times New Roman" w:cs="Times New Roman"/>
                <w:b/>
                <w:bCs/>
                <w:sz w:val="18"/>
                <w:szCs w:val="18"/>
              </w:rPr>
              <w:t>18. </w:t>
            </w:r>
            <w:r w:rsidRPr="00B1156E">
              <w:rPr>
                <w:rFonts w:eastAsia="Times New Roman" w:cs="Times New Roman"/>
                <w:sz w:val="18"/>
                <w:szCs w:val="18"/>
              </w:rPr>
              <w:t xml:space="preserve"> Cost of goods sold represents</w:t>
            </w:r>
          </w:p>
          <w:p w:rsidR="00B1156E" w:rsidRPr="00B1156E" w:rsidRDefault="00B1156E" w:rsidP="00B1156E">
            <w:pPr>
              <w:rPr>
                <w:rFonts w:eastAsia="Times New Roman" w:cs="Times New Roman"/>
                <w:sz w:val="18"/>
                <w:szCs w:val="18"/>
              </w:rPr>
            </w:pPr>
          </w:p>
        </w:tc>
      </w:tr>
      <w:tr w:rsidR="00B1156E" w:rsidRPr="00B1156E" w:rsidTr="00EF1AA5">
        <w:trPr>
          <w:tblCellSpacing w:w="0" w:type="dxa"/>
        </w:trPr>
        <w:tc>
          <w:tcPr>
            <w:tcW w:w="0" w:type="auto"/>
            <w:vAlign w:val="center"/>
            <w:hideMark/>
          </w:tcPr>
          <w:p w:rsidR="00B1156E" w:rsidRPr="00B1156E" w:rsidRDefault="00B1156E" w:rsidP="00B1156E">
            <w:pPr>
              <w:divId w:val="957029722"/>
              <w:rPr>
                <w:rFonts w:eastAsia="Times New Roman" w:cs="Times New Roman"/>
                <w:sz w:val="18"/>
                <w:szCs w:val="18"/>
              </w:rPr>
            </w:pPr>
            <w:r w:rsidRPr="00B1156E">
              <w:rPr>
                <w:rFonts w:eastAsia="Times New Roman" w:cs="Times New Roman"/>
                <w:b/>
                <w:bCs/>
                <w:sz w:val="18"/>
                <w:szCs w:val="18"/>
              </w:rPr>
              <w:t>19. </w:t>
            </w:r>
            <w:r w:rsidRPr="00B1156E">
              <w:rPr>
                <w:rFonts w:eastAsia="Times New Roman" w:cs="Times New Roman"/>
                <w:sz w:val="18"/>
                <w:szCs w:val="18"/>
              </w:rPr>
              <w:t xml:space="preserve"> Which method assigns the cost of the most recent items purchased to ending inventory?</w:t>
            </w:r>
          </w:p>
          <w:p w:rsidR="00B1156E" w:rsidRPr="00B1156E" w:rsidRDefault="00B1156E" w:rsidP="00B1156E">
            <w:pPr>
              <w:rPr>
                <w:rFonts w:eastAsia="Times New Roman" w:cs="Times New Roman"/>
                <w:sz w:val="18"/>
                <w:szCs w:val="18"/>
              </w:rPr>
            </w:pPr>
          </w:p>
        </w:tc>
      </w:tr>
      <w:tr w:rsidR="00B1156E" w:rsidRPr="00B1156E" w:rsidTr="00EF1AA5">
        <w:trPr>
          <w:trHeight w:val="669"/>
          <w:tblCellSpacing w:w="0" w:type="dxa"/>
        </w:trPr>
        <w:tc>
          <w:tcPr>
            <w:tcW w:w="0" w:type="auto"/>
            <w:vAlign w:val="center"/>
            <w:hideMark/>
          </w:tcPr>
          <w:p w:rsidR="00B1156E" w:rsidRPr="00B1156E" w:rsidRDefault="00B1156E" w:rsidP="00EF1AA5">
            <w:pPr>
              <w:divId w:val="75594469"/>
              <w:rPr>
                <w:rFonts w:eastAsia="Times New Roman" w:cs="Times New Roman"/>
                <w:sz w:val="18"/>
                <w:szCs w:val="18"/>
              </w:rPr>
            </w:pPr>
            <w:r w:rsidRPr="00B1156E">
              <w:rPr>
                <w:rFonts w:eastAsia="Times New Roman" w:cs="Times New Roman"/>
                <w:b/>
                <w:bCs/>
                <w:sz w:val="18"/>
                <w:szCs w:val="18"/>
              </w:rPr>
              <w:t>20. </w:t>
            </w:r>
            <w:r w:rsidRPr="00B1156E">
              <w:rPr>
                <w:rFonts w:eastAsia="Times New Roman" w:cs="Times New Roman"/>
                <w:sz w:val="18"/>
                <w:szCs w:val="18"/>
              </w:rPr>
              <w:t xml:space="preserve"> Which method assigns the cost of the most recent items purchased to cost of goods sold?</w:t>
            </w:r>
          </w:p>
        </w:tc>
      </w:tr>
      <w:tr w:rsidR="00B1156E" w:rsidRPr="00B1156E" w:rsidTr="00B1156E">
        <w:trPr>
          <w:tblCellSpacing w:w="0" w:type="dxa"/>
        </w:trPr>
        <w:tc>
          <w:tcPr>
            <w:tcW w:w="0" w:type="auto"/>
            <w:vAlign w:val="center"/>
            <w:hideMark/>
          </w:tcPr>
          <w:p w:rsidR="00B1156E" w:rsidRPr="00B1156E" w:rsidRDefault="00B1156E" w:rsidP="00B1156E">
            <w:pPr>
              <w:divId w:val="2041860453"/>
              <w:rPr>
                <w:rFonts w:eastAsia="Times New Roman" w:cs="Times New Roman"/>
                <w:sz w:val="18"/>
                <w:szCs w:val="18"/>
              </w:rPr>
            </w:pPr>
            <w:r w:rsidRPr="00B1156E">
              <w:rPr>
                <w:rFonts w:eastAsia="Times New Roman" w:cs="Times New Roman"/>
                <w:b/>
                <w:bCs/>
                <w:sz w:val="18"/>
                <w:szCs w:val="18"/>
              </w:rPr>
              <w:t>21. </w:t>
            </w:r>
            <w:r w:rsidRPr="00B1156E">
              <w:rPr>
                <w:rFonts w:eastAsia="Times New Roman" w:cs="Times New Roman"/>
                <w:sz w:val="18"/>
                <w:szCs w:val="18"/>
              </w:rPr>
              <w:t xml:space="preserve"> Which method assigns the same cost to all units whether sold or left in ending inventory?</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318264791"/>
              <w:rPr>
                <w:rFonts w:eastAsia="Times New Roman" w:cs="Times New Roman"/>
                <w:sz w:val="18"/>
                <w:szCs w:val="18"/>
              </w:rPr>
            </w:pPr>
            <w:r w:rsidRPr="00B1156E">
              <w:rPr>
                <w:rFonts w:eastAsia="Times New Roman" w:cs="Times New Roman"/>
                <w:b/>
                <w:bCs/>
                <w:sz w:val="18"/>
                <w:szCs w:val="18"/>
              </w:rPr>
              <w:t>22. </w:t>
            </w:r>
            <w:r w:rsidRPr="00B1156E">
              <w:rPr>
                <w:rFonts w:eastAsia="Times New Roman" w:cs="Times New Roman"/>
                <w:sz w:val="18"/>
                <w:szCs w:val="18"/>
              </w:rPr>
              <w:t xml:space="preserve"> For which type of inventory would a company most likely use the specific identification method?</w:t>
            </w:r>
          </w:p>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23. 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EF1AA5">
        <w:trPr>
          <w:tblCellSpacing w:w="0" w:type="dxa"/>
        </w:trPr>
        <w:tc>
          <w:tcPr>
            <w:tcW w:w="0" w:type="auto"/>
            <w:vAlign w:val="center"/>
            <w:hideMark/>
          </w:tcPr>
          <w:p w:rsidR="00B1156E" w:rsidRPr="00B1156E" w:rsidRDefault="00B1156E" w:rsidP="00B1156E">
            <w:pPr>
              <w:spacing w:before="100" w:beforeAutospacing="1" w:after="100" w:afterAutospacing="1"/>
              <w:rPr>
                <w:rFonts w:eastAsia="Times New Roman" w:cs="Times New Roman"/>
                <w:sz w:val="18"/>
                <w:szCs w:val="18"/>
              </w:rPr>
            </w:pPr>
            <w:r>
              <w:rPr>
                <w:rFonts w:eastAsia="Times New Roman" w:cs="Times New Roman"/>
                <w:noProof/>
                <w:sz w:val="18"/>
                <w:szCs w:val="18"/>
              </w:rPr>
              <w:drawing>
                <wp:inline distT="0" distB="0" distL="0" distR="0">
                  <wp:extent cx="5382895" cy="1475105"/>
                  <wp:effectExtent l="19050" t="0" r="8255" b="0"/>
                  <wp:docPr id="139" name="Picture 139" descr="http://east.instructor.cengagenow.com/ilrn/books/pnfa06t/images/ch05/pnfa06t_ch05_fill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ast.instructor.cengagenow.com/ilrn/books/pnfa06t/images/ch05/pnfa06t_ch05_fillmore.gif"/>
                          <pic:cNvPicPr>
                            <a:picLocks noChangeAspect="1" noChangeArrowheads="1"/>
                          </pic:cNvPicPr>
                        </pic:nvPicPr>
                        <pic:blipFill>
                          <a:blip r:embed="rId9" cstate="print"/>
                          <a:srcRect/>
                          <a:stretch>
                            <a:fillRect/>
                          </a:stretch>
                        </pic:blipFill>
                        <pic:spPr bwMode="auto">
                          <a:xfrm>
                            <a:off x="0" y="0"/>
                            <a:ext cx="5382895" cy="1475105"/>
                          </a:xfrm>
                          <a:prstGeom prst="rect">
                            <a:avLst/>
                          </a:prstGeom>
                          <a:noFill/>
                          <a:ln w="9525">
                            <a:noFill/>
                            <a:miter lim="800000"/>
                            <a:headEnd/>
                            <a:tailEnd/>
                          </a:ln>
                        </pic:spPr>
                      </pic:pic>
                    </a:graphicData>
                  </a:graphic>
                </wp:inline>
              </w:drawing>
            </w:r>
          </w:p>
          <w:p w:rsidR="00B1156E" w:rsidRPr="00B1156E" w:rsidRDefault="00B1156E" w:rsidP="00B1156E">
            <w:pPr>
              <w:rPr>
                <w:rFonts w:eastAsia="Times New Roman" w:cs="Times New Roman"/>
                <w:sz w:val="18"/>
                <w:szCs w:val="18"/>
              </w:rPr>
            </w:pPr>
            <w:r w:rsidRPr="00B1156E">
              <w:rPr>
                <w:rFonts w:eastAsia="Times New Roman" w:cs="Times New Roman"/>
                <w:sz w:val="18"/>
                <w:szCs w:val="18"/>
              </w:rPr>
              <w:br/>
              <w:t>Refer to Fillmore, Inc. If the June 30th inventory included 45 units from the June 5th purchase and 45 units from the June 14th purchase, Fillmore' cost of goods sold for June under the specific identification method would be</w:t>
            </w:r>
          </w:p>
          <w:p w:rsidR="00B1156E" w:rsidRPr="00B1156E" w:rsidRDefault="00B1156E" w:rsidP="00B1156E">
            <w:pPr>
              <w:rPr>
                <w:rFonts w:eastAsia="Times New Roman" w:cs="Times New Roman"/>
                <w:sz w:val="18"/>
                <w:szCs w:val="18"/>
              </w:rPr>
            </w:pPr>
          </w:p>
        </w:tc>
      </w:tr>
      <w:tr w:rsidR="00B1156E" w:rsidRPr="00B1156E" w:rsidTr="00EF1AA5">
        <w:trPr>
          <w:trHeight w:val="515"/>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24. </w:t>
            </w:r>
            <w:r w:rsidRPr="00B1156E">
              <w:rPr>
                <w:rFonts w:eastAsia="Times New Roman" w:cs="Times New Roman"/>
                <w:sz w:val="18"/>
                <w:szCs w:val="18"/>
              </w:rPr>
              <w:t xml:space="preserve"> Refer to Fillmore, Inc. If Fillmore uses the FIFO inventory method, the amount assigned to the June 30 inventory would be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25. </w:t>
            </w:r>
            <w:r w:rsidRPr="00B1156E">
              <w:rPr>
                <w:rFonts w:eastAsia="Times New Roman" w:cs="Times New Roman"/>
                <w:sz w:val="18"/>
                <w:szCs w:val="18"/>
              </w:rPr>
              <w:t xml:space="preserve"> Refer to Fillmore, Inc. If Fillmore uses the weighted average cost inventory method, the amount assigned to the June 30th inventory would be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26. </w:t>
            </w:r>
            <w:r w:rsidRPr="00B1156E">
              <w:rPr>
                <w:rFonts w:eastAsia="Times New Roman" w:cs="Times New Roman"/>
                <w:sz w:val="18"/>
                <w:szCs w:val="18"/>
              </w:rPr>
              <w:t xml:space="preserve"> Refer to Fillmore, Inc. If Fillmore uses the LIFO inventory method, the cost of goods sold for June would be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27. </w:t>
            </w:r>
            <w:r w:rsidRPr="00B1156E">
              <w:rPr>
                <w:rFonts w:eastAsia="Times New Roman" w:cs="Times New Roman"/>
                <w:sz w:val="18"/>
                <w:szCs w:val="18"/>
              </w:rPr>
              <w:t xml:space="preserve"> Refer to Fillmore, Inc. How many units did Fillmore, Inc. sell during June?</w:t>
            </w:r>
          </w:p>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28. 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before="100" w:beforeAutospacing="1" w:after="100" w:afterAutospacing="1"/>
              <w:rPr>
                <w:rFonts w:eastAsia="Times New Roman" w:cs="Times New Roman"/>
                <w:sz w:val="18"/>
                <w:szCs w:val="18"/>
              </w:rPr>
            </w:pPr>
            <w:r>
              <w:rPr>
                <w:rFonts w:eastAsia="Times New Roman" w:cs="Times New Roman"/>
                <w:noProof/>
                <w:sz w:val="18"/>
                <w:szCs w:val="18"/>
              </w:rPr>
              <w:drawing>
                <wp:inline distT="0" distB="0" distL="0" distR="0">
                  <wp:extent cx="5745480" cy="1466215"/>
                  <wp:effectExtent l="19050" t="0" r="7620" b="0"/>
                  <wp:docPr id="174" name="Picture 174" descr="http://east.instructor.cengagenow.com/ilrn/books/pnfa06t/images/ch05/pnfa06t_ch05_daw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ast.instructor.cengagenow.com/ilrn/books/pnfa06t/images/ch05/pnfa06t_ch05_dawson.gif"/>
                          <pic:cNvPicPr>
                            <a:picLocks noChangeAspect="1" noChangeArrowheads="1"/>
                          </pic:cNvPicPr>
                        </pic:nvPicPr>
                        <pic:blipFill>
                          <a:blip r:embed="rId10" cstate="print"/>
                          <a:srcRect/>
                          <a:stretch>
                            <a:fillRect/>
                          </a:stretch>
                        </pic:blipFill>
                        <pic:spPr bwMode="auto">
                          <a:xfrm>
                            <a:off x="0" y="0"/>
                            <a:ext cx="5745480" cy="1466215"/>
                          </a:xfrm>
                          <a:prstGeom prst="rect">
                            <a:avLst/>
                          </a:prstGeom>
                          <a:noFill/>
                          <a:ln w="9525">
                            <a:noFill/>
                            <a:miter lim="800000"/>
                            <a:headEnd/>
                            <a:tailEnd/>
                          </a:ln>
                        </pic:spPr>
                      </pic:pic>
                    </a:graphicData>
                  </a:graphic>
                </wp:inline>
              </w:drawing>
            </w:r>
          </w:p>
          <w:p w:rsidR="00B1156E" w:rsidRPr="00B1156E" w:rsidRDefault="00B1156E" w:rsidP="00B1156E">
            <w:pPr>
              <w:rPr>
                <w:rFonts w:eastAsia="Times New Roman" w:cs="Times New Roman"/>
                <w:sz w:val="18"/>
                <w:szCs w:val="18"/>
              </w:rPr>
            </w:pPr>
            <w:r w:rsidRPr="00B1156E">
              <w:rPr>
                <w:rFonts w:eastAsia="Times New Roman" w:cs="Times New Roman"/>
                <w:sz w:val="18"/>
                <w:szCs w:val="18"/>
              </w:rPr>
              <w:lastRenderedPageBreak/>
              <w:br/>
              <w:t>Refer to Dawson, Inc. If Dawson, Inc. uses FIFO inventory costing, how much is cost of goods sold for April?</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lastRenderedPageBreak/>
              <w:t>29. </w:t>
            </w:r>
            <w:r w:rsidRPr="00B1156E">
              <w:rPr>
                <w:rFonts w:eastAsia="Times New Roman" w:cs="Times New Roman"/>
                <w:sz w:val="18"/>
                <w:szCs w:val="18"/>
              </w:rPr>
              <w:t xml:space="preserve"> Refer to Dawson, Inc. If Dawson, Inc. uses the weighted average cost inventory method, how much is cost of goods sold for April?</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30. </w:t>
            </w:r>
            <w:r w:rsidRPr="00B1156E">
              <w:rPr>
                <w:rFonts w:eastAsia="Times New Roman" w:cs="Times New Roman"/>
                <w:sz w:val="18"/>
                <w:szCs w:val="18"/>
              </w:rPr>
              <w:t xml:space="preserve"> Refer to Dawson, Inc. If Dawson uses the LIFO inventory method, how much is inventory on the balance sheet as of April 30?</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820999185"/>
              <w:rPr>
                <w:rFonts w:eastAsia="Times New Roman" w:cs="Times New Roman"/>
                <w:sz w:val="18"/>
                <w:szCs w:val="18"/>
              </w:rPr>
            </w:pPr>
            <w:r w:rsidRPr="00B1156E">
              <w:rPr>
                <w:rFonts w:eastAsia="Times New Roman" w:cs="Times New Roman"/>
                <w:b/>
                <w:bCs/>
                <w:sz w:val="18"/>
                <w:szCs w:val="18"/>
              </w:rPr>
              <w:t>31. </w:t>
            </w:r>
            <w:r w:rsidRPr="00B1156E">
              <w:rPr>
                <w:rFonts w:eastAsia="Times New Roman" w:cs="Times New Roman"/>
                <w:sz w:val="18"/>
                <w:szCs w:val="18"/>
              </w:rPr>
              <w:t xml:space="preserve"> A major advantage of the weighted average method of inventory costing is that</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074308367"/>
              <w:rPr>
                <w:rFonts w:eastAsia="Times New Roman" w:cs="Times New Roman"/>
                <w:sz w:val="18"/>
                <w:szCs w:val="18"/>
              </w:rPr>
            </w:pPr>
            <w:r w:rsidRPr="00B1156E">
              <w:rPr>
                <w:rFonts w:eastAsia="Times New Roman" w:cs="Times New Roman"/>
                <w:b/>
                <w:bCs/>
                <w:sz w:val="18"/>
                <w:szCs w:val="18"/>
              </w:rPr>
              <w:t>32. </w:t>
            </w:r>
            <w:r w:rsidRPr="00B1156E">
              <w:rPr>
                <w:rFonts w:eastAsia="Times New Roman" w:cs="Times New Roman"/>
                <w:sz w:val="18"/>
                <w:szCs w:val="18"/>
              </w:rPr>
              <w:t xml:space="preserve"> Which method of inventory costing is not acceptable for financial accounting purposes?</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214585892"/>
              <w:rPr>
                <w:rFonts w:eastAsia="Times New Roman" w:cs="Times New Roman"/>
                <w:sz w:val="18"/>
                <w:szCs w:val="18"/>
              </w:rPr>
            </w:pPr>
            <w:r w:rsidRPr="00B1156E">
              <w:rPr>
                <w:rFonts w:eastAsia="Times New Roman" w:cs="Times New Roman"/>
                <w:b/>
                <w:bCs/>
                <w:sz w:val="18"/>
                <w:szCs w:val="18"/>
              </w:rPr>
              <w:t>33. </w:t>
            </w:r>
            <w:r w:rsidRPr="00B1156E">
              <w:rPr>
                <w:rFonts w:eastAsia="Times New Roman" w:cs="Times New Roman"/>
                <w:sz w:val="18"/>
                <w:szCs w:val="18"/>
              </w:rPr>
              <w:t xml:space="preserve"> Which inventory costing method results in the highest inventory balance during a period of rising prices?</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1006636525"/>
              <w:rPr>
                <w:rFonts w:eastAsia="Times New Roman" w:cs="Times New Roman"/>
                <w:sz w:val="18"/>
                <w:szCs w:val="18"/>
              </w:rPr>
            </w:pPr>
            <w:r w:rsidRPr="00B1156E">
              <w:rPr>
                <w:rFonts w:eastAsia="Times New Roman" w:cs="Times New Roman"/>
                <w:b/>
                <w:bCs/>
                <w:sz w:val="18"/>
                <w:szCs w:val="18"/>
              </w:rPr>
              <w:t>34. </w:t>
            </w:r>
            <w:r w:rsidRPr="00B1156E">
              <w:rPr>
                <w:rFonts w:eastAsia="Times New Roman" w:cs="Times New Roman"/>
                <w:sz w:val="18"/>
                <w:szCs w:val="18"/>
              </w:rPr>
              <w:t xml:space="preserve"> Which one of the following statements regarding changing inventory methods is true?</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B1156E">
            <w:pPr>
              <w:divId w:val="2075009646"/>
              <w:rPr>
                <w:rFonts w:eastAsia="Times New Roman" w:cs="Times New Roman"/>
                <w:sz w:val="18"/>
                <w:szCs w:val="18"/>
              </w:rPr>
            </w:pPr>
            <w:r w:rsidRPr="00B1156E">
              <w:rPr>
                <w:rFonts w:eastAsia="Times New Roman" w:cs="Times New Roman"/>
                <w:b/>
                <w:bCs/>
                <w:sz w:val="18"/>
                <w:szCs w:val="18"/>
              </w:rPr>
              <w:t>35. </w:t>
            </w:r>
            <w:r w:rsidRPr="00B1156E">
              <w:rPr>
                <w:rFonts w:eastAsia="Times New Roman" w:cs="Times New Roman"/>
                <w:sz w:val="18"/>
                <w:szCs w:val="18"/>
              </w:rPr>
              <w:t xml:space="preserve"> If cost of goods sold under FIFO was $8,000 and was $10,000 under LIFO, assuming a tax rate of 40%, how much tax savings resulted from using LIFO?</w:t>
            </w:r>
          </w:p>
          <w:p w:rsidR="00B1156E" w:rsidRPr="00B1156E" w:rsidRDefault="00B1156E" w:rsidP="00B1156E">
            <w:pPr>
              <w:rPr>
                <w:rFonts w:eastAsia="Times New Roman" w:cs="Times New Roman"/>
                <w:sz w:val="18"/>
                <w:szCs w:val="18"/>
              </w:rPr>
            </w:pPr>
          </w:p>
        </w:tc>
      </w:tr>
      <w:tr w:rsidR="00B1156E" w:rsidRPr="00B1156E" w:rsidTr="00B1156E">
        <w:trPr>
          <w:tblCellSpacing w:w="0" w:type="dxa"/>
        </w:trPr>
        <w:tc>
          <w:tcPr>
            <w:tcW w:w="0" w:type="auto"/>
            <w:vAlign w:val="center"/>
            <w:hideMark/>
          </w:tcPr>
          <w:p w:rsidR="00B1156E" w:rsidRPr="00B1156E" w:rsidRDefault="00B1156E" w:rsidP="00EF1AA5">
            <w:pPr>
              <w:rPr>
                <w:rFonts w:eastAsia="Times New Roman" w:cs="Times New Roman"/>
                <w:sz w:val="18"/>
                <w:szCs w:val="18"/>
              </w:rPr>
            </w:pPr>
            <w:r w:rsidRPr="00B1156E">
              <w:rPr>
                <w:rFonts w:eastAsia="Times New Roman" w:cs="Times New Roman"/>
                <w:b/>
                <w:bCs/>
                <w:sz w:val="18"/>
                <w:szCs w:val="18"/>
              </w:rPr>
              <w:t>36. </w:t>
            </w:r>
            <w:r w:rsidRPr="00B1156E">
              <w:rPr>
                <w:rFonts w:eastAsia="Times New Roman" w:cs="Times New Roman"/>
                <w:sz w:val="18"/>
                <w:szCs w:val="18"/>
              </w:rPr>
              <w:t xml:space="preserve"> </w:t>
            </w:r>
            <w:r w:rsidR="00EF1AA5">
              <w:rPr>
                <w:rFonts w:eastAsia="Times New Roman" w:cs="Times New Roman"/>
                <w:sz w:val="18"/>
                <w:szCs w:val="18"/>
              </w:rPr>
              <w:t>M</w:t>
            </w:r>
            <w:r w:rsidRPr="00B1156E">
              <w:rPr>
                <w:rFonts w:eastAsia="Times New Roman" w:cs="Times New Roman"/>
                <w:i/>
                <w:iCs/>
                <w:sz w:val="18"/>
                <w:szCs w:val="18"/>
              </w:rPr>
              <w:t>atch the terms with the descriptions related to merchandise sales and purchases.</w:t>
            </w:r>
            <w:r w:rsidRPr="00B1156E">
              <w:rPr>
                <w:rFonts w:eastAsia="Times New Roman" w:cs="Times New Roman"/>
                <w:sz w:val="18"/>
                <w:szCs w:val="18"/>
              </w:rPr>
              <w:t xml:space="preserve"> </w:t>
            </w:r>
            <w:r w:rsidRPr="00B1156E">
              <w:rPr>
                <w:rFonts w:eastAsia="Times New Roman" w:cs="Times New Roman"/>
                <w:sz w:val="18"/>
                <w:szCs w:val="18"/>
              </w:rPr>
              <w:br/>
            </w:r>
            <w:r w:rsidRPr="00B1156E">
              <w:rPr>
                <w:rFonts w:eastAsia="Times New Roman" w:cs="Times New Roman"/>
                <w:sz w:val="18"/>
                <w:szCs w:val="18"/>
              </w:rPr>
              <w:br/>
              <w:t>a. Transportation-in</w:t>
            </w:r>
            <w:r w:rsidRPr="00B1156E">
              <w:rPr>
                <w:rFonts w:eastAsia="Times New Roman" w:cs="Times New Roman"/>
                <w:sz w:val="18"/>
                <w:szCs w:val="18"/>
              </w:rPr>
              <w:br/>
              <w:t>b. Perpetual inventory system</w:t>
            </w:r>
            <w:r w:rsidRPr="00B1156E">
              <w:rPr>
                <w:rFonts w:eastAsia="Times New Roman" w:cs="Times New Roman"/>
                <w:sz w:val="18"/>
                <w:szCs w:val="18"/>
              </w:rPr>
              <w:br/>
              <w:t>c. Net purchases</w:t>
            </w:r>
            <w:r w:rsidRPr="00B1156E">
              <w:rPr>
                <w:rFonts w:eastAsia="Times New Roman" w:cs="Times New Roman"/>
                <w:sz w:val="18"/>
                <w:szCs w:val="18"/>
              </w:rPr>
              <w:br/>
              <w:t>d. FOB Destination</w:t>
            </w:r>
            <w:r w:rsidRPr="00B1156E">
              <w:rPr>
                <w:rFonts w:eastAsia="Times New Roman" w:cs="Times New Roman"/>
                <w:sz w:val="18"/>
                <w:szCs w:val="18"/>
              </w:rPr>
              <w:br/>
              <w:t>e. Cost of goods available for sale</w:t>
            </w:r>
            <w:r w:rsidRPr="00B1156E">
              <w:rPr>
                <w:rFonts w:eastAsia="Times New Roman" w:cs="Times New Roman"/>
                <w:sz w:val="18"/>
                <w:szCs w:val="18"/>
              </w:rPr>
              <w:br/>
              <w:t>f. Periodic inventory system</w:t>
            </w:r>
            <w:r w:rsidRPr="00B1156E">
              <w:rPr>
                <w:rFonts w:eastAsia="Times New Roman" w:cs="Times New Roman"/>
                <w:sz w:val="18"/>
                <w:szCs w:val="18"/>
              </w:rPr>
              <w:br/>
              <w:t>g. FOB Shipping point</w:t>
            </w:r>
            <w:r w:rsidRPr="00B1156E">
              <w:rPr>
                <w:rFonts w:eastAsia="Times New Roman" w:cs="Times New Roman"/>
                <w:sz w:val="18"/>
                <w:szCs w:val="18"/>
              </w:rPr>
              <w:br/>
              <w:t>h. Delivery expense</w:t>
            </w: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37. 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after="240"/>
              <w:rPr>
                <w:rFonts w:eastAsia="Times New Roman" w:cs="Times New Roman"/>
                <w:sz w:val="18"/>
                <w:szCs w:val="18"/>
              </w:rPr>
            </w:pPr>
            <w:r w:rsidRPr="00B1156E">
              <w:rPr>
                <w:rFonts w:eastAsia="Times New Roman" w:cs="Times New Roman"/>
                <w:i/>
                <w:iCs/>
                <w:sz w:val="18"/>
                <w:szCs w:val="18"/>
              </w:rPr>
              <w:t>Marshall Company sells auto parts. The company employs a periodic inventory system. Identify all the effects on the accounting equation.</w:t>
            </w:r>
            <w:r w:rsidR="00EF1AA5">
              <w:rPr>
                <w:rFonts w:eastAsia="Times New Roman" w:cs="Times New Roman"/>
                <w:sz w:val="18"/>
                <w:szCs w:val="18"/>
              </w:rPr>
              <w:t xml:space="preserve"> </w:t>
            </w:r>
          </w:p>
          <w:tbl>
            <w:tblPr>
              <w:tblW w:w="0" w:type="auto"/>
              <w:tblCellSpacing w:w="0" w:type="dxa"/>
              <w:tblCellMar>
                <w:top w:w="45" w:type="dxa"/>
                <w:left w:w="45" w:type="dxa"/>
                <w:bottom w:w="45" w:type="dxa"/>
                <w:right w:w="45" w:type="dxa"/>
              </w:tblCellMar>
              <w:tblLook w:val="04A0"/>
            </w:tblPr>
            <w:tblGrid>
              <w:gridCol w:w="225"/>
              <w:gridCol w:w="5548"/>
              <w:gridCol w:w="1800"/>
            </w:tblGrid>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1.</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Sold merchandise on credit to customers.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2.</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Recorded cash sales for the day.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3.</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Gave a customer a cash refund.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4.</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Collected cash from a customer for payment within the discount period.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5.</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Granted a customer a credit on its balance due for goods that were returned.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bl>
          <w:p w:rsidR="00B1156E" w:rsidRPr="00B1156E" w:rsidRDefault="00B1156E" w:rsidP="00B1156E">
            <w:pPr>
              <w:rPr>
                <w:rFonts w:eastAsia="Times New Roman" w:cs="Times New Roman"/>
                <w:sz w:val="18"/>
                <w:szCs w:val="18"/>
              </w:rPr>
            </w:pPr>
          </w:p>
        </w:tc>
      </w:tr>
    </w:tbl>
    <w:p w:rsidR="00B1156E" w:rsidRPr="00B1156E" w:rsidRDefault="00B1156E" w:rsidP="00B1156E">
      <w:pPr>
        <w:rPr>
          <w:rFonts w:eastAsia="Times New Roman" w:cs="Times New Roman"/>
          <w:sz w:val="18"/>
          <w:szCs w:val="18"/>
        </w:rPr>
      </w:pPr>
      <w:r w:rsidRPr="00B1156E">
        <w:rPr>
          <w:rFonts w:eastAsia="Times New Roman" w:cs="Times New Roman"/>
          <w:b/>
          <w:bCs/>
          <w:sz w:val="18"/>
          <w:szCs w:val="18"/>
        </w:rPr>
        <w:t>38. </w:t>
      </w:r>
      <w:r w:rsidRPr="00B1156E">
        <w:rPr>
          <w:rFonts w:eastAsia="Times New Roman" w:cs="Times New Roman"/>
          <w:sz w:val="18"/>
          <w:szCs w:val="18"/>
        </w:rPr>
        <w:t xml:space="preserve"> </w:t>
      </w:r>
    </w:p>
    <w:tbl>
      <w:tblPr>
        <w:tblW w:w="5000" w:type="pct"/>
        <w:tblCellSpacing w:w="0" w:type="dxa"/>
        <w:tblCellMar>
          <w:left w:w="0" w:type="dxa"/>
          <w:right w:w="0" w:type="dxa"/>
        </w:tblCellMar>
        <w:tblLook w:val="04A0"/>
      </w:tblPr>
      <w:tblGrid>
        <w:gridCol w:w="11160"/>
      </w:tblGrid>
      <w:tr w:rsidR="00B1156E" w:rsidRPr="00B1156E" w:rsidTr="00B1156E">
        <w:trPr>
          <w:tblCellSpacing w:w="0" w:type="dxa"/>
        </w:trPr>
        <w:tc>
          <w:tcPr>
            <w:tcW w:w="0" w:type="auto"/>
            <w:vAlign w:val="center"/>
            <w:hideMark/>
          </w:tcPr>
          <w:p w:rsidR="00B1156E" w:rsidRPr="00B1156E" w:rsidRDefault="00B1156E" w:rsidP="00B1156E">
            <w:pPr>
              <w:spacing w:after="240"/>
              <w:rPr>
                <w:rFonts w:eastAsia="Times New Roman" w:cs="Times New Roman"/>
                <w:sz w:val="18"/>
                <w:szCs w:val="18"/>
              </w:rPr>
            </w:pPr>
            <w:r w:rsidRPr="00B1156E">
              <w:rPr>
                <w:rFonts w:eastAsia="Times New Roman" w:cs="Times New Roman"/>
                <w:i/>
                <w:iCs/>
                <w:sz w:val="18"/>
                <w:szCs w:val="18"/>
              </w:rPr>
              <w:t>Match the costs that might be included as part of the cost of inventory to the listed accounting treatment.</w:t>
            </w:r>
            <w:r w:rsidRPr="00B1156E">
              <w:rPr>
                <w:rFonts w:eastAsia="Times New Roman" w:cs="Times New Roman"/>
                <w:sz w:val="18"/>
                <w:szCs w:val="18"/>
              </w:rPr>
              <w:t xml:space="preserve"> </w:t>
            </w:r>
            <w:r w:rsidRPr="00B1156E">
              <w:rPr>
                <w:rFonts w:eastAsia="Times New Roman" w:cs="Times New Roman"/>
                <w:sz w:val="18"/>
                <w:szCs w:val="18"/>
              </w:rPr>
              <w:br/>
            </w:r>
          </w:p>
          <w:tbl>
            <w:tblPr>
              <w:tblW w:w="0" w:type="auto"/>
              <w:tblCellSpacing w:w="0" w:type="dxa"/>
              <w:tblCellMar>
                <w:top w:w="45" w:type="dxa"/>
                <w:left w:w="45" w:type="dxa"/>
                <w:bottom w:w="45" w:type="dxa"/>
                <w:right w:w="45" w:type="dxa"/>
              </w:tblCellMar>
              <w:tblLook w:val="04A0"/>
            </w:tblPr>
            <w:tblGrid>
              <w:gridCol w:w="225"/>
              <w:gridCol w:w="5285"/>
              <w:gridCol w:w="1800"/>
            </w:tblGrid>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1.</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Invoice price paid for resale goods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2.</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Freight costs incurred by the buyer to ship goods to its place of business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3.</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Freight costs incurred by the seller to ship goods to its customers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4.</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Cost of storing the goods before they are sold to customers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5.</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Excise taxes paid on goods acquired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6.</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Sales taxes paid on goods acquired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7.</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Income taxes paid on profits earned from selling goods to customers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r w:rsidR="00B1156E" w:rsidRPr="00B1156E">
              <w:trPr>
                <w:tblCellSpacing w:w="0" w:type="dxa"/>
              </w:trPr>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8.</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szCs w:val="18"/>
                    </w:rPr>
                    <w:t xml:space="preserve">cost of insurance during transit to acquired inventory items </w:t>
                  </w:r>
                </w:p>
              </w:tc>
              <w:tc>
                <w:tcPr>
                  <w:tcW w:w="0" w:type="auto"/>
                  <w:vAlign w:val="center"/>
                  <w:hideMark/>
                </w:tcPr>
                <w:p w:rsidR="00B1156E" w:rsidRPr="00B1156E" w:rsidRDefault="00B1156E" w:rsidP="00B1156E">
                  <w:pPr>
                    <w:rPr>
                      <w:rFonts w:eastAsia="Times New Roman" w:cs="Times New Roman"/>
                      <w:sz w:val="18"/>
                      <w:szCs w:val="18"/>
                    </w:rPr>
                  </w:pPr>
                  <w:r w:rsidRPr="00B1156E">
                    <w:rPr>
                      <w:rFonts w:eastAsia="Times New Roman" w:cs="Times New Roman"/>
                      <w:sz w:val="18"/>
                    </w:rPr>
                    <w:t xml:space="preserve">  _________________   </w:t>
                  </w:r>
                </w:p>
              </w:tc>
            </w:tr>
          </w:tbl>
          <w:p w:rsidR="00B1156E" w:rsidRPr="00B1156E" w:rsidRDefault="00B1156E" w:rsidP="00B1156E">
            <w:pPr>
              <w:rPr>
                <w:rFonts w:eastAsia="Times New Roman" w:cs="Times New Roman"/>
                <w:sz w:val="18"/>
                <w:szCs w:val="18"/>
              </w:rPr>
            </w:pPr>
          </w:p>
        </w:tc>
      </w:tr>
    </w:tbl>
    <w:p w:rsidR="00B1156E" w:rsidRDefault="00B1156E">
      <w:pPr>
        <w:rPr>
          <w:rFonts w:eastAsia="Times New Roman" w:cs="Times New Roman"/>
          <w:b/>
          <w:bCs/>
          <w:sz w:val="18"/>
          <w:szCs w:val="18"/>
        </w:rPr>
      </w:pPr>
    </w:p>
    <w:sectPr w:rsidR="00B1156E" w:rsidSect="00B1156E">
      <w:headerReference w:type="even" r:id="rId11"/>
      <w:headerReference w:type="default" r:id="rId12"/>
      <w:footerReference w:type="even" r:id="rId13"/>
      <w:footerReference w:type="default" r:id="rId14"/>
      <w:headerReference w:type="first" r:id="rId15"/>
      <w:footerReference w:type="first" r:id="rId16"/>
      <w:pgSz w:w="12240" w:h="15840"/>
      <w:pgMar w:top="540" w:right="540" w:bottom="18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A5" w:rsidRDefault="00EF1AA5" w:rsidP="00EF1AA5">
      <w:r>
        <w:separator/>
      </w:r>
    </w:p>
  </w:endnote>
  <w:endnote w:type="continuationSeparator" w:id="0">
    <w:p w:rsidR="00EF1AA5" w:rsidRDefault="00EF1AA5" w:rsidP="00EF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A5" w:rsidRDefault="00EF1AA5" w:rsidP="00EF1AA5">
      <w:r>
        <w:separator/>
      </w:r>
    </w:p>
  </w:footnote>
  <w:footnote w:type="continuationSeparator" w:id="0">
    <w:p w:rsidR="00EF1AA5" w:rsidRDefault="00EF1AA5" w:rsidP="00EF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Header"/>
    </w:pPr>
    <w:r>
      <w:t>Chapter 5 Study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A5" w:rsidRDefault="00EF1A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1156E"/>
    <w:rsid w:val="00043D02"/>
    <w:rsid w:val="006507A0"/>
    <w:rsid w:val="00932CE3"/>
    <w:rsid w:val="00B1156E"/>
    <w:rsid w:val="00D5558A"/>
    <w:rsid w:val="00EF1AA5"/>
    <w:rsid w:val="00F15956"/>
    <w:rsid w:val="00FE7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oices">
    <w:name w:val="choices"/>
    <w:basedOn w:val="DefaultParagraphFont"/>
    <w:rsid w:val="00B1156E"/>
  </w:style>
  <w:style w:type="character" w:customStyle="1" w:styleId="choice">
    <w:name w:val="choice"/>
    <w:basedOn w:val="DefaultParagraphFont"/>
    <w:rsid w:val="00B1156E"/>
  </w:style>
  <w:style w:type="paragraph" w:styleId="NormalWeb">
    <w:name w:val="Normal (Web)"/>
    <w:basedOn w:val="Normal"/>
    <w:uiPriority w:val="99"/>
    <w:semiHidden/>
    <w:unhideWhenUsed/>
    <w:rsid w:val="00B1156E"/>
    <w:pPr>
      <w:spacing w:before="100" w:beforeAutospacing="1" w:after="100" w:afterAutospacing="1"/>
    </w:pPr>
    <w:rPr>
      <w:rFonts w:eastAsia="Times New Roman" w:cs="Times New Roman"/>
      <w:szCs w:val="24"/>
    </w:rPr>
  </w:style>
  <w:style w:type="character" w:customStyle="1" w:styleId="ieshow">
    <w:name w:val="ieshow"/>
    <w:basedOn w:val="DefaultParagraphFont"/>
    <w:rsid w:val="00B1156E"/>
  </w:style>
  <w:style w:type="paragraph" w:styleId="BalloonText">
    <w:name w:val="Balloon Text"/>
    <w:basedOn w:val="Normal"/>
    <w:link w:val="BalloonTextChar"/>
    <w:uiPriority w:val="99"/>
    <w:semiHidden/>
    <w:unhideWhenUsed/>
    <w:rsid w:val="00B1156E"/>
    <w:rPr>
      <w:rFonts w:ascii="Tahoma" w:hAnsi="Tahoma" w:cs="Tahoma"/>
      <w:sz w:val="16"/>
      <w:szCs w:val="16"/>
    </w:rPr>
  </w:style>
  <w:style w:type="character" w:customStyle="1" w:styleId="BalloonTextChar">
    <w:name w:val="Balloon Text Char"/>
    <w:basedOn w:val="DefaultParagraphFont"/>
    <w:link w:val="BalloonText"/>
    <w:uiPriority w:val="99"/>
    <w:semiHidden/>
    <w:rsid w:val="00B1156E"/>
    <w:rPr>
      <w:rFonts w:ascii="Tahoma" w:hAnsi="Tahoma" w:cs="Tahoma"/>
      <w:sz w:val="16"/>
      <w:szCs w:val="16"/>
    </w:rPr>
  </w:style>
  <w:style w:type="paragraph" w:styleId="Header">
    <w:name w:val="header"/>
    <w:basedOn w:val="Normal"/>
    <w:link w:val="HeaderChar"/>
    <w:uiPriority w:val="99"/>
    <w:semiHidden/>
    <w:unhideWhenUsed/>
    <w:rsid w:val="00EF1AA5"/>
    <w:pPr>
      <w:tabs>
        <w:tab w:val="center" w:pos="4680"/>
        <w:tab w:val="right" w:pos="9360"/>
      </w:tabs>
    </w:pPr>
  </w:style>
  <w:style w:type="character" w:customStyle="1" w:styleId="HeaderChar">
    <w:name w:val="Header Char"/>
    <w:basedOn w:val="DefaultParagraphFont"/>
    <w:link w:val="Header"/>
    <w:uiPriority w:val="99"/>
    <w:semiHidden/>
    <w:rsid w:val="00EF1AA5"/>
  </w:style>
  <w:style w:type="paragraph" w:styleId="Footer">
    <w:name w:val="footer"/>
    <w:basedOn w:val="Normal"/>
    <w:link w:val="FooterChar"/>
    <w:uiPriority w:val="99"/>
    <w:semiHidden/>
    <w:unhideWhenUsed/>
    <w:rsid w:val="00EF1AA5"/>
    <w:pPr>
      <w:tabs>
        <w:tab w:val="center" w:pos="4680"/>
        <w:tab w:val="right" w:pos="9360"/>
      </w:tabs>
    </w:pPr>
  </w:style>
  <w:style w:type="character" w:customStyle="1" w:styleId="FooterChar">
    <w:name w:val="Footer Char"/>
    <w:basedOn w:val="DefaultParagraphFont"/>
    <w:link w:val="Footer"/>
    <w:uiPriority w:val="99"/>
    <w:semiHidden/>
    <w:rsid w:val="00EF1AA5"/>
  </w:style>
</w:styles>
</file>

<file path=word/webSettings.xml><?xml version="1.0" encoding="utf-8"?>
<w:webSettings xmlns:r="http://schemas.openxmlformats.org/officeDocument/2006/relationships" xmlns:w="http://schemas.openxmlformats.org/wordprocessingml/2006/main">
  <w:divs>
    <w:div w:id="1748959686">
      <w:bodyDiv w:val="1"/>
      <w:marLeft w:val="0"/>
      <w:marRight w:val="0"/>
      <w:marTop w:val="0"/>
      <w:marBottom w:val="0"/>
      <w:divBdr>
        <w:top w:val="none" w:sz="0" w:space="0" w:color="auto"/>
        <w:left w:val="none" w:sz="0" w:space="0" w:color="auto"/>
        <w:bottom w:val="none" w:sz="0" w:space="0" w:color="auto"/>
        <w:right w:val="none" w:sz="0" w:space="0" w:color="auto"/>
      </w:divBdr>
      <w:divsChild>
        <w:div w:id="1741323747">
          <w:marLeft w:val="0"/>
          <w:marRight w:val="0"/>
          <w:marTop w:val="0"/>
          <w:marBottom w:val="0"/>
          <w:divBdr>
            <w:top w:val="none" w:sz="0" w:space="0" w:color="auto"/>
            <w:left w:val="none" w:sz="0" w:space="0" w:color="auto"/>
            <w:bottom w:val="none" w:sz="0" w:space="0" w:color="auto"/>
            <w:right w:val="none" w:sz="0" w:space="0" w:color="auto"/>
          </w:divBdr>
          <w:divsChild>
            <w:div w:id="1416702278">
              <w:marLeft w:val="0"/>
              <w:marRight w:val="0"/>
              <w:marTop w:val="0"/>
              <w:marBottom w:val="0"/>
              <w:divBdr>
                <w:top w:val="none" w:sz="0" w:space="0" w:color="auto"/>
                <w:left w:val="none" w:sz="0" w:space="0" w:color="auto"/>
                <w:bottom w:val="none" w:sz="0" w:space="0" w:color="auto"/>
                <w:right w:val="none" w:sz="0" w:space="0" w:color="auto"/>
              </w:divBdr>
            </w:div>
          </w:divsChild>
        </w:div>
        <w:div w:id="252207643">
          <w:marLeft w:val="0"/>
          <w:marRight w:val="0"/>
          <w:marTop w:val="0"/>
          <w:marBottom w:val="0"/>
          <w:divBdr>
            <w:top w:val="none" w:sz="0" w:space="0" w:color="auto"/>
            <w:left w:val="none" w:sz="0" w:space="0" w:color="auto"/>
            <w:bottom w:val="none" w:sz="0" w:space="0" w:color="auto"/>
            <w:right w:val="none" w:sz="0" w:space="0" w:color="auto"/>
          </w:divBdr>
        </w:div>
        <w:div w:id="1148017628">
          <w:marLeft w:val="0"/>
          <w:marRight w:val="0"/>
          <w:marTop w:val="0"/>
          <w:marBottom w:val="0"/>
          <w:divBdr>
            <w:top w:val="none" w:sz="0" w:space="0" w:color="auto"/>
            <w:left w:val="none" w:sz="0" w:space="0" w:color="auto"/>
            <w:bottom w:val="none" w:sz="0" w:space="0" w:color="auto"/>
            <w:right w:val="none" w:sz="0" w:space="0" w:color="auto"/>
          </w:divBdr>
        </w:div>
        <w:div w:id="1760829630">
          <w:marLeft w:val="0"/>
          <w:marRight w:val="0"/>
          <w:marTop w:val="0"/>
          <w:marBottom w:val="0"/>
          <w:divBdr>
            <w:top w:val="none" w:sz="0" w:space="0" w:color="auto"/>
            <w:left w:val="none" w:sz="0" w:space="0" w:color="auto"/>
            <w:bottom w:val="none" w:sz="0" w:space="0" w:color="auto"/>
            <w:right w:val="none" w:sz="0" w:space="0" w:color="auto"/>
          </w:divBdr>
        </w:div>
        <w:div w:id="1334605305">
          <w:marLeft w:val="0"/>
          <w:marRight w:val="0"/>
          <w:marTop w:val="0"/>
          <w:marBottom w:val="0"/>
          <w:divBdr>
            <w:top w:val="none" w:sz="0" w:space="0" w:color="auto"/>
            <w:left w:val="none" w:sz="0" w:space="0" w:color="auto"/>
            <w:bottom w:val="none" w:sz="0" w:space="0" w:color="auto"/>
            <w:right w:val="none" w:sz="0" w:space="0" w:color="auto"/>
          </w:divBdr>
        </w:div>
        <w:div w:id="1347950253">
          <w:marLeft w:val="0"/>
          <w:marRight w:val="0"/>
          <w:marTop w:val="0"/>
          <w:marBottom w:val="0"/>
          <w:divBdr>
            <w:top w:val="none" w:sz="0" w:space="0" w:color="auto"/>
            <w:left w:val="none" w:sz="0" w:space="0" w:color="auto"/>
            <w:bottom w:val="none" w:sz="0" w:space="0" w:color="auto"/>
            <w:right w:val="none" w:sz="0" w:space="0" w:color="auto"/>
          </w:divBdr>
        </w:div>
        <w:div w:id="1855224540">
          <w:marLeft w:val="0"/>
          <w:marRight w:val="0"/>
          <w:marTop w:val="0"/>
          <w:marBottom w:val="0"/>
          <w:divBdr>
            <w:top w:val="none" w:sz="0" w:space="0" w:color="auto"/>
            <w:left w:val="none" w:sz="0" w:space="0" w:color="auto"/>
            <w:bottom w:val="none" w:sz="0" w:space="0" w:color="auto"/>
            <w:right w:val="none" w:sz="0" w:space="0" w:color="auto"/>
          </w:divBdr>
        </w:div>
        <w:div w:id="484512170">
          <w:marLeft w:val="0"/>
          <w:marRight w:val="0"/>
          <w:marTop w:val="0"/>
          <w:marBottom w:val="0"/>
          <w:divBdr>
            <w:top w:val="none" w:sz="0" w:space="0" w:color="auto"/>
            <w:left w:val="none" w:sz="0" w:space="0" w:color="auto"/>
            <w:bottom w:val="none" w:sz="0" w:space="0" w:color="auto"/>
            <w:right w:val="none" w:sz="0" w:space="0" w:color="auto"/>
          </w:divBdr>
        </w:div>
        <w:div w:id="1754469012">
          <w:marLeft w:val="0"/>
          <w:marRight w:val="0"/>
          <w:marTop w:val="0"/>
          <w:marBottom w:val="0"/>
          <w:divBdr>
            <w:top w:val="none" w:sz="0" w:space="0" w:color="auto"/>
            <w:left w:val="none" w:sz="0" w:space="0" w:color="auto"/>
            <w:bottom w:val="none" w:sz="0" w:space="0" w:color="auto"/>
            <w:right w:val="none" w:sz="0" w:space="0" w:color="auto"/>
          </w:divBdr>
        </w:div>
        <w:div w:id="1344893190">
          <w:marLeft w:val="0"/>
          <w:marRight w:val="0"/>
          <w:marTop w:val="0"/>
          <w:marBottom w:val="0"/>
          <w:divBdr>
            <w:top w:val="none" w:sz="0" w:space="0" w:color="auto"/>
            <w:left w:val="none" w:sz="0" w:space="0" w:color="auto"/>
            <w:bottom w:val="none" w:sz="0" w:space="0" w:color="auto"/>
            <w:right w:val="none" w:sz="0" w:space="0" w:color="auto"/>
          </w:divBdr>
        </w:div>
        <w:div w:id="162933218">
          <w:marLeft w:val="0"/>
          <w:marRight w:val="0"/>
          <w:marTop w:val="0"/>
          <w:marBottom w:val="0"/>
          <w:divBdr>
            <w:top w:val="none" w:sz="0" w:space="0" w:color="auto"/>
            <w:left w:val="none" w:sz="0" w:space="0" w:color="auto"/>
            <w:bottom w:val="none" w:sz="0" w:space="0" w:color="auto"/>
            <w:right w:val="none" w:sz="0" w:space="0" w:color="auto"/>
          </w:divBdr>
        </w:div>
        <w:div w:id="220748745">
          <w:marLeft w:val="0"/>
          <w:marRight w:val="0"/>
          <w:marTop w:val="0"/>
          <w:marBottom w:val="0"/>
          <w:divBdr>
            <w:top w:val="none" w:sz="0" w:space="0" w:color="auto"/>
            <w:left w:val="none" w:sz="0" w:space="0" w:color="auto"/>
            <w:bottom w:val="none" w:sz="0" w:space="0" w:color="auto"/>
            <w:right w:val="none" w:sz="0" w:space="0" w:color="auto"/>
          </w:divBdr>
        </w:div>
        <w:div w:id="1103380475">
          <w:marLeft w:val="0"/>
          <w:marRight w:val="0"/>
          <w:marTop w:val="0"/>
          <w:marBottom w:val="0"/>
          <w:divBdr>
            <w:top w:val="none" w:sz="0" w:space="0" w:color="auto"/>
            <w:left w:val="none" w:sz="0" w:space="0" w:color="auto"/>
            <w:bottom w:val="none" w:sz="0" w:space="0" w:color="auto"/>
            <w:right w:val="none" w:sz="0" w:space="0" w:color="auto"/>
          </w:divBdr>
        </w:div>
        <w:div w:id="232398405">
          <w:marLeft w:val="0"/>
          <w:marRight w:val="0"/>
          <w:marTop w:val="0"/>
          <w:marBottom w:val="0"/>
          <w:divBdr>
            <w:top w:val="none" w:sz="0" w:space="0" w:color="auto"/>
            <w:left w:val="none" w:sz="0" w:space="0" w:color="auto"/>
            <w:bottom w:val="none" w:sz="0" w:space="0" w:color="auto"/>
            <w:right w:val="none" w:sz="0" w:space="0" w:color="auto"/>
          </w:divBdr>
        </w:div>
        <w:div w:id="321201456">
          <w:marLeft w:val="0"/>
          <w:marRight w:val="0"/>
          <w:marTop w:val="0"/>
          <w:marBottom w:val="0"/>
          <w:divBdr>
            <w:top w:val="none" w:sz="0" w:space="0" w:color="auto"/>
            <w:left w:val="none" w:sz="0" w:space="0" w:color="auto"/>
            <w:bottom w:val="none" w:sz="0" w:space="0" w:color="auto"/>
            <w:right w:val="none" w:sz="0" w:space="0" w:color="auto"/>
          </w:divBdr>
        </w:div>
        <w:div w:id="2070565437">
          <w:marLeft w:val="0"/>
          <w:marRight w:val="0"/>
          <w:marTop w:val="0"/>
          <w:marBottom w:val="0"/>
          <w:divBdr>
            <w:top w:val="none" w:sz="0" w:space="0" w:color="auto"/>
            <w:left w:val="none" w:sz="0" w:space="0" w:color="auto"/>
            <w:bottom w:val="none" w:sz="0" w:space="0" w:color="auto"/>
            <w:right w:val="none" w:sz="0" w:space="0" w:color="auto"/>
          </w:divBdr>
        </w:div>
        <w:div w:id="1748962063">
          <w:marLeft w:val="0"/>
          <w:marRight w:val="0"/>
          <w:marTop w:val="0"/>
          <w:marBottom w:val="0"/>
          <w:divBdr>
            <w:top w:val="none" w:sz="0" w:space="0" w:color="auto"/>
            <w:left w:val="none" w:sz="0" w:space="0" w:color="auto"/>
            <w:bottom w:val="none" w:sz="0" w:space="0" w:color="auto"/>
            <w:right w:val="none" w:sz="0" w:space="0" w:color="auto"/>
          </w:divBdr>
        </w:div>
        <w:div w:id="1244800580">
          <w:marLeft w:val="0"/>
          <w:marRight w:val="0"/>
          <w:marTop w:val="0"/>
          <w:marBottom w:val="0"/>
          <w:divBdr>
            <w:top w:val="none" w:sz="0" w:space="0" w:color="auto"/>
            <w:left w:val="none" w:sz="0" w:space="0" w:color="auto"/>
            <w:bottom w:val="none" w:sz="0" w:space="0" w:color="auto"/>
            <w:right w:val="none" w:sz="0" w:space="0" w:color="auto"/>
          </w:divBdr>
        </w:div>
        <w:div w:id="957029722">
          <w:marLeft w:val="0"/>
          <w:marRight w:val="0"/>
          <w:marTop w:val="0"/>
          <w:marBottom w:val="0"/>
          <w:divBdr>
            <w:top w:val="none" w:sz="0" w:space="0" w:color="auto"/>
            <w:left w:val="none" w:sz="0" w:space="0" w:color="auto"/>
            <w:bottom w:val="none" w:sz="0" w:space="0" w:color="auto"/>
            <w:right w:val="none" w:sz="0" w:space="0" w:color="auto"/>
          </w:divBdr>
        </w:div>
        <w:div w:id="75594469">
          <w:marLeft w:val="0"/>
          <w:marRight w:val="0"/>
          <w:marTop w:val="0"/>
          <w:marBottom w:val="0"/>
          <w:divBdr>
            <w:top w:val="none" w:sz="0" w:space="0" w:color="auto"/>
            <w:left w:val="none" w:sz="0" w:space="0" w:color="auto"/>
            <w:bottom w:val="none" w:sz="0" w:space="0" w:color="auto"/>
            <w:right w:val="none" w:sz="0" w:space="0" w:color="auto"/>
          </w:divBdr>
        </w:div>
        <w:div w:id="2041860453">
          <w:marLeft w:val="0"/>
          <w:marRight w:val="0"/>
          <w:marTop w:val="0"/>
          <w:marBottom w:val="0"/>
          <w:divBdr>
            <w:top w:val="none" w:sz="0" w:space="0" w:color="auto"/>
            <w:left w:val="none" w:sz="0" w:space="0" w:color="auto"/>
            <w:bottom w:val="none" w:sz="0" w:space="0" w:color="auto"/>
            <w:right w:val="none" w:sz="0" w:space="0" w:color="auto"/>
          </w:divBdr>
        </w:div>
        <w:div w:id="318264791">
          <w:marLeft w:val="0"/>
          <w:marRight w:val="0"/>
          <w:marTop w:val="0"/>
          <w:marBottom w:val="0"/>
          <w:divBdr>
            <w:top w:val="none" w:sz="0" w:space="0" w:color="auto"/>
            <w:left w:val="none" w:sz="0" w:space="0" w:color="auto"/>
            <w:bottom w:val="none" w:sz="0" w:space="0" w:color="auto"/>
            <w:right w:val="none" w:sz="0" w:space="0" w:color="auto"/>
          </w:divBdr>
        </w:div>
        <w:div w:id="1795251322">
          <w:marLeft w:val="0"/>
          <w:marRight w:val="0"/>
          <w:marTop w:val="0"/>
          <w:marBottom w:val="0"/>
          <w:divBdr>
            <w:top w:val="none" w:sz="0" w:space="0" w:color="auto"/>
            <w:left w:val="none" w:sz="0" w:space="0" w:color="auto"/>
            <w:bottom w:val="none" w:sz="0" w:space="0" w:color="auto"/>
            <w:right w:val="none" w:sz="0" w:space="0" w:color="auto"/>
          </w:divBdr>
        </w:div>
        <w:div w:id="861013482">
          <w:marLeft w:val="0"/>
          <w:marRight w:val="0"/>
          <w:marTop w:val="0"/>
          <w:marBottom w:val="0"/>
          <w:divBdr>
            <w:top w:val="none" w:sz="0" w:space="0" w:color="auto"/>
            <w:left w:val="none" w:sz="0" w:space="0" w:color="auto"/>
            <w:bottom w:val="none" w:sz="0" w:space="0" w:color="auto"/>
            <w:right w:val="none" w:sz="0" w:space="0" w:color="auto"/>
          </w:divBdr>
        </w:div>
        <w:div w:id="1624919814">
          <w:marLeft w:val="0"/>
          <w:marRight w:val="0"/>
          <w:marTop w:val="0"/>
          <w:marBottom w:val="0"/>
          <w:divBdr>
            <w:top w:val="none" w:sz="0" w:space="0" w:color="auto"/>
            <w:left w:val="none" w:sz="0" w:space="0" w:color="auto"/>
            <w:bottom w:val="none" w:sz="0" w:space="0" w:color="auto"/>
            <w:right w:val="none" w:sz="0" w:space="0" w:color="auto"/>
          </w:divBdr>
        </w:div>
        <w:div w:id="1170289239">
          <w:marLeft w:val="0"/>
          <w:marRight w:val="0"/>
          <w:marTop w:val="0"/>
          <w:marBottom w:val="0"/>
          <w:divBdr>
            <w:top w:val="none" w:sz="0" w:space="0" w:color="auto"/>
            <w:left w:val="none" w:sz="0" w:space="0" w:color="auto"/>
            <w:bottom w:val="none" w:sz="0" w:space="0" w:color="auto"/>
            <w:right w:val="none" w:sz="0" w:space="0" w:color="auto"/>
          </w:divBdr>
        </w:div>
        <w:div w:id="2138714595">
          <w:marLeft w:val="0"/>
          <w:marRight w:val="0"/>
          <w:marTop w:val="0"/>
          <w:marBottom w:val="0"/>
          <w:divBdr>
            <w:top w:val="none" w:sz="0" w:space="0" w:color="auto"/>
            <w:left w:val="none" w:sz="0" w:space="0" w:color="auto"/>
            <w:bottom w:val="none" w:sz="0" w:space="0" w:color="auto"/>
            <w:right w:val="none" w:sz="0" w:space="0" w:color="auto"/>
          </w:divBdr>
        </w:div>
        <w:div w:id="1743403830">
          <w:marLeft w:val="0"/>
          <w:marRight w:val="0"/>
          <w:marTop w:val="0"/>
          <w:marBottom w:val="0"/>
          <w:divBdr>
            <w:top w:val="none" w:sz="0" w:space="0" w:color="auto"/>
            <w:left w:val="none" w:sz="0" w:space="0" w:color="auto"/>
            <w:bottom w:val="none" w:sz="0" w:space="0" w:color="auto"/>
            <w:right w:val="none" w:sz="0" w:space="0" w:color="auto"/>
          </w:divBdr>
        </w:div>
        <w:div w:id="304939303">
          <w:marLeft w:val="0"/>
          <w:marRight w:val="0"/>
          <w:marTop w:val="0"/>
          <w:marBottom w:val="0"/>
          <w:divBdr>
            <w:top w:val="none" w:sz="0" w:space="0" w:color="auto"/>
            <w:left w:val="none" w:sz="0" w:space="0" w:color="auto"/>
            <w:bottom w:val="none" w:sz="0" w:space="0" w:color="auto"/>
            <w:right w:val="none" w:sz="0" w:space="0" w:color="auto"/>
          </w:divBdr>
        </w:div>
        <w:div w:id="1997030463">
          <w:marLeft w:val="0"/>
          <w:marRight w:val="0"/>
          <w:marTop w:val="0"/>
          <w:marBottom w:val="0"/>
          <w:divBdr>
            <w:top w:val="none" w:sz="0" w:space="0" w:color="auto"/>
            <w:left w:val="none" w:sz="0" w:space="0" w:color="auto"/>
            <w:bottom w:val="none" w:sz="0" w:space="0" w:color="auto"/>
            <w:right w:val="none" w:sz="0" w:space="0" w:color="auto"/>
          </w:divBdr>
        </w:div>
        <w:div w:id="820999185">
          <w:marLeft w:val="0"/>
          <w:marRight w:val="0"/>
          <w:marTop w:val="0"/>
          <w:marBottom w:val="0"/>
          <w:divBdr>
            <w:top w:val="none" w:sz="0" w:space="0" w:color="auto"/>
            <w:left w:val="none" w:sz="0" w:space="0" w:color="auto"/>
            <w:bottom w:val="none" w:sz="0" w:space="0" w:color="auto"/>
            <w:right w:val="none" w:sz="0" w:space="0" w:color="auto"/>
          </w:divBdr>
        </w:div>
        <w:div w:id="2074308367">
          <w:marLeft w:val="0"/>
          <w:marRight w:val="0"/>
          <w:marTop w:val="0"/>
          <w:marBottom w:val="0"/>
          <w:divBdr>
            <w:top w:val="none" w:sz="0" w:space="0" w:color="auto"/>
            <w:left w:val="none" w:sz="0" w:space="0" w:color="auto"/>
            <w:bottom w:val="none" w:sz="0" w:space="0" w:color="auto"/>
            <w:right w:val="none" w:sz="0" w:space="0" w:color="auto"/>
          </w:divBdr>
        </w:div>
        <w:div w:id="1214585892">
          <w:marLeft w:val="0"/>
          <w:marRight w:val="0"/>
          <w:marTop w:val="0"/>
          <w:marBottom w:val="0"/>
          <w:divBdr>
            <w:top w:val="none" w:sz="0" w:space="0" w:color="auto"/>
            <w:left w:val="none" w:sz="0" w:space="0" w:color="auto"/>
            <w:bottom w:val="none" w:sz="0" w:space="0" w:color="auto"/>
            <w:right w:val="none" w:sz="0" w:space="0" w:color="auto"/>
          </w:divBdr>
        </w:div>
        <w:div w:id="1006636525">
          <w:marLeft w:val="0"/>
          <w:marRight w:val="0"/>
          <w:marTop w:val="0"/>
          <w:marBottom w:val="0"/>
          <w:divBdr>
            <w:top w:val="none" w:sz="0" w:space="0" w:color="auto"/>
            <w:left w:val="none" w:sz="0" w:space="0" w:color="auto"/>
            <w:bottom w:val="none" w:sz="0" w:space="0" w:color="auto"/>
            <w:right w:val="none" w:sz="0" w:space="0" w:color="auto"/>
          </w:divBdr>
        </w:div>
        <w:div w:id="2075009646">
          <w:marLeft w:val="0"/>
          <w:marRight w:val="0"/>
          <w:marTop w:val="0"/>
          <w:marBottom w:val="0"/>
          <w:divBdr>
            <w:top w:val="none" w:sz="0" w:space="0" w:color="auto"/>
            <w:left w:val="none" w:sz="0" w:space="0" w:color="auto"/>
            <w:bottom w:val="none" w:sz="0" w:space="0" w:color="auto"/>
            <w:right w:val="none" w:sz="0" w:space="0" w:color="auto"/>
          </w:divBdr>
        </w:div>
        <w:div w:id="2027099954">
          <w:marLeft w:val="0"/>
          <w:marRight w:val="0"/>
          <w:marTop w:val="0"/>
          <w:marBottom w:val="0"/>
          <w:divBdr>
            <w:top w:val="none" w:sz="0" w:space="0" w:color="auto"/>
            <w:left w:val="none" w:sz="0" w:space="0" w:color="auto"/>
            <w:bottom w:val="none" w:sz="0" w:space="0" w:color="auto"/>
            <w:right w:val="none" w:sz="0" w:space="0" w:color="auto"/>
          </w:divBdr>
          <w:divsChild>
            <w:div w:id="1220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Patriciabrigman</dc:creator>
  <cp:keywords/>
  <dc:description/>
  <cp:lastModifiedBy>Patriciabrigman</cp:lastModifiedBy>
  <cp:revision>3</cp:revision>
  <cp:lastPrinted>2009-12-01T22:06:00Z</cp:lastPrinted>
  <dcterms:created xsi:type="dcterms:W3CDTF">2009-12-01T22:07:00Z</dcterms:created>
  <dcterms:modified xsi:type="dcterms:W3CDTF">2009-12-01T22:20:00Z</dcterms:modified>
</cp:coreProperties>
</file>